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00B9E1" w14:textId="77777777" w:rsidR="00DE0543" w:rsidRDefault="00FE4EEA">
      <w:pPr>
        <w:pStyle w:val="normal0"/>
      </w:pPr>
      <w:bookmarkStart w:id="0" w:name="_GoBack"/>
      <w:bookmarkEnd w:id="0"/>
      <w:r>
        <w:rPr>
          <w:b/>
        </w:rPr>
        <w:t>Facilitating Learning in Synchronous Environments</w:t>
      </w:r>
    </w:p>
    <w:p w14:paraId="05E7A6BD" w14:textId="77777777" w:rsidR="00DE0543" w:rsidRDefault="00FE4EEA">
      <w:pPr>
        <w:pStyle w:val="normal0"/>
      </w:pPr>
      <w:r>
        <w:rPr>
          <w:b/>
        </w:rPr>
        <w:t>Unit 3: Weeks 4, 5, and 6</w:t>
      </w:r>
    </w:p>
    <w:p w14:paraId="22F44467" w14:textId="77777777" w:rsidR="00DE0543" w:rsidRDefault="00FE4EEA">
      <w:pPr>
        <w:pStyle w:val="normal0"/>
      </w:pPr>
      <w:r>
        <w:rPr>
          <w:b/>
        </w:rPr>
        <w:t xml:space="preserve">Description: </w:t>
      </w:r>
      <w:r>
        <w:rPr>
          <w:b/>
        </w:rPr>
        <w:br/>
      </w:r>
      <w:r>
        <w:t>Unit 3 focuses on preparing and planning for delivering a synchronous activity or course. You are introduced to specific concepts related to event planning for real-time learning, including the process of creating storyboards, planning visuals and learning</w:t>
      </w:r>
      <w:r>
        <w:t xml:space="preserve"> activities to maximize student engagement, and managing logistical issues. As well, you will examine the characteristics of different types of media that are useful to consider in the design and delivery of synchronous learning activities. You will also b</w:t>
      </w:r>
      <w:r>
        <w:t>ecome familiar with the process of conducting a systematic audience analysis to ensure that the students’ primary needs are addressed. Finally, this unit addresses how to prepare students for synchronous learning so that they can get the most of the specif</w:t>
      </w:r>
      <w:r>
        <w:t xml:space="preserve">ic medium used and how to select/organize learning activities </w:t>
      </w:r>
      <w:proofErr w:type="gramStart"/>
      <w:r>
        <w:t>that promote</w:t>
      </w:r>
      <w:proofErr w:type="gramEnd"/>
      <w:r>
        <w:t xml:space="preserve"> presence and active participation.</w:t>
      </w:r>
    </w:p>
    <w:tbl>
      <w:tblPr>
        <w:tblW w:w="1317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008"/>
        <w:gridCol w:w="4410"/>
        <w:gridCol w:w="4464"/>
        <w:gridCol w:w="3294"/>
      </w:tblGrid>
      <w:tr w:rsidR="00DE0543" w14:paraId="563EAB0E" w14:textId="77777777">
        <w:tblPrEx>
          <w:tblCellMar>
            <w:top w:w="0" w:type="dxa"/>
            <w:bottom w:w="0" w:type="dxa"/>
          </w:tblCellMar>
        </w:tblPrEx>
        <w:tc>
          <w:tcPr>
            <w:tcW w:w="1008" w:type="dxa"/>
            <w:tcMar>
              <w:top w:w="100" w:type="dxa"/>
              <w:left w:w="108" w:type="dxa"/>
              <w:bottom w:w="100" w:type="dxa"/>
              <w:right w:w="108" w:type="dxa"/>
            </w:tcMar>
          </w:tcPr>
          <w:p w14:paraId="0FF0EF8C" w14:textId="77777777" w:rsidR="00DE0543" w:rsidRDefault="00FE4EEA">
            <w:pPr>
              <w:pStyle w:val="normal0"/>
              <w:spacing w:after="0" w:line="240" w:lineRule="auto"/>
            </w:pPr>
            <w:r>
              <w:t>Time</w:t>
            </w:r>
          </w:p>
        </w:tc>
        <w:tc>
          <w:tcPr>
            <w:tcW w:w="4410" w:type="dxa"/>
            <w:tcMar>
              <w:top w:w="100" w:type="dxa"/>
              <w:left w:w="108" w:type="dxa"/>
              <w:bottom w:w="100" w:type="dxa"/>
              <w:right w:w="108" w:type="dxa"/>
            </w:tcMar>
          </w:tcPr>
          <w:p w14:paraId="29229651" w14:textId="77777777" w:rsidR="00DE0543" w:rsidRDefault="00FE4EEA">
            <w:pPr>
              <w:pStyle w:val="normal0"/>
              <w:spacing w:after="0" w:line="240" w:lineRule="auto"/>
            </w:pPr>
            <w:r>
              <w:t>Instructor Activities (What will the instructor do?)</w:t>
            </w:r>
          </w:p>
        </w:tc>
        <w:tc>
          <w:tcPr>
            <w:tcW w:w="4464" w:type="dxa"/>
            <w:tcMar>
              <w:top w:w="100" w:type="dxa"/>
              <w:left w:w="108" w:type="dxa"/>
              <w:bottom w:w="100" w:type="dxa"/>
              <w:right w:w="108" w:type="dxa"/>
            </w:tcMar>
          </w:tcPr>
          <w:p w14:paraId="2EED6DB4" w14:textId="77777777" w:rsidR="00DE0543" w:rsidRDefault="00FE4EEA">
            <w:pPr>
              <w:pStyle w:val="normal0"/>
              <w:spacing w:after="0" w:line="240" w:lineRule="auto"/>
            </w:pPr>
            <w:r>
              <w:t>Learning/Learner Activities (what will the learner do?)</w:t>
            </w:r>
          </w:p>
        </w:tc>
        <w:tc>
          <w:tcPr>
            <w:tcW w:w="3294" w:type="dxa"/>
            <w:tcMar>
              <w:top w:w="100" w:type="dxa"/>
              <w:left w:w="108" w:type="dxa"/>
              <w:bottom w:w="100" w:type="dxa"/>
              <w:right w:w="108" w:type="dxa"/>
            </w:tcMar>
          </w:tcPr>
          <w:p w14:paraId="659668C8" w14:textId="77777777" w:rsidR="00DE0543" w:rsidRDefault="00FE4EEA">
            <w:pPr>
              <w:pStyle w:val="normal0"/>
              <w:spacing w:after="0" w:line="240" w:lineRule="auto"/>
            </w:pPr>
            <w:r>
              <w:t>Resources (Handouts, PPT, video,</w:t>
            </w:r>
            <w:r>
              <w:t xml:space="preserve"> etc.</w:t>
            </w:r>
            <w:r>
              <w:t>)</w:t>
            </w:r>
          </w:p>
        </w:tc>
      </w:tr>
      <w:tr w:rsidR="00DE0543" w14:paraId="19E6DFA4" w14:textId="77777777">
        <w:tblPrEx>
          <w:tblCellMar>
            <w:top w:w="0" w:type="dxa"/>
            <w:bottom w:w="0" w:type="dxa"/>
          </w:tblCellMar>
        </w:tblPrEx>
        <w:tc>
          <w:tcPr>
            <w:tcW w:w="1008" w:type="dxa"/>
            <w:tcMar>
              <w:top w:w="100" w:type="dxa"/>
              <w:left w:w="108" w:type="dxa"/>
              <w:bottom w:w="100" w:type="dxa"/>
              <w:right w:w="108" w:type="dxa"/>
            </w:tcMar>
          </w:tcPr>
          <w:p w14:paraId="3D350F3A" w14:textId="77777777" w:rsidR="00DE0543" w:rsidRDefault="00DE0543">
            <w:pPr>
              <w:pStyle w:val="normal0"/>
              <w:spacing w:after="0" w:line="240" w:lineRule="auto"/>
            </w:pPr>
          </w:p>
          <w:p w14:paraId="3796076D" w14:textId="77777777" w:rsidR="00DE0543" w:rsidRDefault="00FE4EEA">
            <w:pPr>
              <w:pStyle w:val="normal0"/>
              <w:spacing w:after="0" w:line="240" w:lineRule="auto"/>
            </w:pPr>
            <w:r>
              <w:t>Week 3</w:t>
            </w:r>
          </w:p>
          <w:p w14:paraId="11A7B4E5" w14:textId="77777777" w:rsidR="00DE0543" w:rsidRDefault="00DE0543">
            <w:pPr>
              <w:pStyle w:val="normal0"/>
              <w:spacing w:after="0" w:line="240" w:lineRule="auto"/>
            </w:pPr>
          </w:p>
          <w:p w14:paraId="69D375ED" w14:textId="77777777" w:rsidR="00DE0543" w:rsidRDefault="00DE0543">
            <w:pPr>
              <w:pStyle w:val="normal0"/>
              <w:spacing w:after="0" w:line="240" w:lineRule="auto"/>
            </w:pPr>
          </w:p>
          <w:p w14:paraId="706002E6" w14:textId="77777777" w:rsidR="00DE0543" w:rsidRDefault="00DE0543">
            <w:pPr>
              <w:pStyle w:val="normal0"/>
              <w:spacing w:after="0" w:line="240" w:lineRule="auto"/>
            </w:pPr>
          </w:p>
          <w:p w14:paraId="2E5C30C9" w14:textId="77777777" w:rsidR="00DE0543" w:rsidRDefault="00DE0543">
            <w:pPr>
              <w:pStyle w:val="normal0"/>
              <w:spacing w:after="0" w:line="240" w:lineRule="auto"/>
            </w:pPr>
          </w:p>
          <w:p w14:paraId="21C852FB" w14:textId="77777777" w:rsidR="00DE0543" w:rsidRDefault="00DE0543">
            <w:pPr>
              <w:pStyle w:val="normal0"/>
              <w:spacing w:after="0" w:line="240" w:lineRule="auto"/>
            </w:pPr>
          </w:p>
          <w:p w14:paraId="1D24375C" w14:textId="77777777" w:rsidR="00DE0543" w:rsidRDefault="00DE0543">
            <w:pPr>
              <w:pStyle w:val="normal0"/>
              <w:spacing w:after="0" w:line="240" w:lineRule="auto"/>
            </w:pPr>
          </w:p>
          <w:p w14:paraId="116C858A" w14:textId="77777777" w:rsidR="00DE0543" w:rsidRDefault="00DE0543">
            <w:pPr>
              <w:pStyle w:val="normal0"/>
              <w:spacing w:after="0" w:line="240" w:lineRule="auto"/>
            </w:pPr>
          </w:p>
          <w:p w14:paraId="0B4BACB1" w14:textId="77777777" w:rsidR="00DE0543" w:rsidRDefault="00DE0543">
            <w:pPr>
              <w:pStyle w:val="normal0"/>
              <w:spacing w:after="0" w:line="240" w:lineRule="auto"/>
            </w:pPr>
          </w:p>
          <w:p w14:paraId="712CC68F" w14:textId="77777777" w:rsidR="00DE0543" w:rsidRDefault="00DE0543">
            <w:pPr>
              <w:pStyle w:val="normal0"/>
              <w:spacing w:after="0" w:line="240" w:lineRule="auto"/>
            </w:pPr>
          </w:p>
          <w:p w14:paraId="5DCA47FF" w14:textId="77777777" w:rsidR="00DE0543" w:rsidRDefault="00DE0543">
            <w:pPr>
              <w:pStyle w:val="normal0"/>
              <w:spacing w:after="0" w:line="240" w:lineRule="auto"/>
            </w:pPr>
          </w:p>
          <w:p w14:paraId="3438D8C8" w14:textId="77777777" w:rsidR="00DE0543" w:rsidRDefault="00DE0543">
            <w:pPr>
              <w:pStyle w:val="normal0"/>
              <w:spacing w:after="0" w:line="240" w:lineRule="auto"/>
            </w:pPr>
          </w:p>
          <w:p w14:paraId="03E12DA7" w14:textId="77777777" w:rsidR="00DE0543" w:rsidRDefault="00DE0543">
            <w:pPr>
              <w:pStyle w:val="normal0"/>
              <w:spacing w:after="0" w:line="240" w:lineRule="auto"/>
            </w:pPr>
          </w:p>
          <w:p w14:paraId="70A10D99" w14:textId="77777777" w:rsidR="00DE0543" w:rsidRDefault="00DE0543">
            <w:pPr>
              <w:pStyle w:val="normal0"/>
              <w:spacing w:after="0" w:line="240" w:lineRule="auto"/>
            </w:pPr>
          </w:p>
          <w:p w14:paraId="6D938DAE" w14:textId="77777777" w:rsidR="00DE0543" w:rsidRDefault="00DE0543">
            <w:pPr>
              <w:pStyle w:val="normal0"/>
              <w:spacing w:after="0" w:line="240" w:lineRule="auto"/>
            </w:pPr>
          </w:p>
          <w:p w14:paraId="50AF4A04" w14:textId="77777777" w:rsidR="00DE0543" w:rsidRDefault="00DE0543">
            <w:pPr>
              <w:pStyle w:val="normal0"/>
              <w:spacing w:after="0" w:line="240" w:lineRule="auto"/>
            </w:pPr>
          </w:p>
          <w:p w14:paraId="6FB75464" w14:textId="77777777" w:rsidR="00DE0543" w:rsidRDefault="00DE0543">
            <w:pPr>
              <w:pStyle w:val="normal0"/>
              <w:spacing w:after="0" w:line="240" w:lineRule="auto"/>
            </w:pPr>
          </w:p>
          <w:p w14:paraId="672D7178" w14:textId="77777777" w:rsidR="00DE0543" w:rsidRDefault="00DE0543">
            <w:pPr>
              <w:pStyle w:val="normal0"/>
              <w:spacing w:after="0" w:line="240" w:lineRule="auto"/>
            </w:pPr>
          </w:p>
          <w:p w14:paraId="5566ED39" w14:textId="77777777" w:rsidR="00DE0543" w:rsidRDefault="00DE0543">
            <w:pPr>
              <w:pStyle w:val="normal0"/>
              <w:spacing w:after="0" w:line="240" w:lineRule="auto"/>
            </w:pPr>
          </w:p>
          <w:p w14:paraId="68A77B5F" w14:textId="77777777" w:rsidR="00DE0543" w:rsidRDefault="00DE0543">
            <w:pPr>
              <w:pStyle w:val="normal0"/>
              <w:spacing w:after="0" w:line="240" w:lineRule="auto"/>
            </w:pPr>
          </w:p>
          <w:p w14:paraId="7C34D947" w14:textId="77777777" w:rsidR="00DE0543" w:rsidRDefault="00DE0543">
            <w:pPr>
              <w:pStyle w:val="normal0"/>
              <w:spacing w:after="0" w:line="240" w:lineRule="auto"/>
            </w:pPr>
          </w:p>
          <w:p w14:paraId="12807CF8" w14:textId="77777777" w:rsidR="00DE0543" w:rsidRDefault="00DE0543">
            <w:pPr>
              <w:pStyle w:val="normal0"/>
              <w:spacing w:after="0" w:line="240" w:lineRule="auto"/>
            </w:pPr>
          </w:p>
          <w:p w14:paraId="6646F974" w14:textId="77777777" w:rsidR="00DE0543" w:rsidRDefault="00DE0543">
            <w:pPr>
              <w:pStyle w:val="normal0"/>
              <w:spacing w:after="0" w:line="240" w:lineRule="auto"/>
            </w:pPr>
          </w:p>
          <w:p w14:paraId="4BDCBC4B" w14:textId="77777777" w:rsidR="00DE0543" w:rsidRDefault="00DE0543">
            <w:pPr>
              <w:pStyle w:val="normal0"/>
              <w:spacing w:after="0" w:line="240" w:lineRule="auto"/>
            </w:pPr>
          </w:p>
          <w:p w14:paraId="6E306B53" w14:textId="77777777" w:rsidR="00DE0543" w:rsidRDefault="00DE0543">
            <w:pPr>
              <w:pStyle w:val="normal0"/>
              <w:spacing w:after="0" w:line="240" w:lineRule="auto"/>
            </w:pPr>
          </w:p>
          <w:p w14:paraId="52924670" w14:textId="77777777" w:rsidR="00DE0543" w:rsidRDefault="00DE0543">
            <w:pPr>
              <w:pStyle w:val="normal0"/>
              <w:spacing w:after="0" w:line="240" w:lineRule="auto"/>
            </w:pPr>
          </w:p>
          <w:p w14:paraId="50A5171F" w14:textId="77777777" w:rsidR="00DE0543" w:rsidRDefault="00DE0543">
            <w:pPr>
              <w:pStyle w:val="normal0"/>
              <w:spacing w:after="0" w:line="240" w:lineRule="auto"/>
            </w:pPr>
          </w:p>
          <w:p w14:paraId="6874D155" w14:textId="77777777" w:rsidR="00DE0543" w:rsidRDefault="00DE0543">
            <w:pPr>
              <w:pStyle w:val="normal0"/>
              <w:spacing w:after="0" w:line="240" w:lineRule="auto"/>
            </w:pPr>
          </w:p>
          <w:p w14:paraId="648F983F" w14:textId="77777777" w:rsidR="00DE0543" w:rsidRDefault="00DE0543">
            <w:pPr>
              <w:pStyle w:val="normal0"/>
              <w:spacing w:after="0" w:line="240" w:lineRule="auto"/>
            </w:pPr>
          </w:p>
          <w:p w14:paraId="73D09814" w14:textId="77777777" w:rsidR="00DE0543" w:rsidRDefault="00DE0543">
            <w:pPr>
              <w:pStyle w:val="normal0"/>
              <w:spacing w:after="0" w:line="240" w:lineRule="auto"/>
            </w:pPr>
          </w:p>
          <w:p w14:paraId="24672663" w14:textId="77777777" w:rsidR="00DE0543" w:rsidRDefault="00DE0543">
            <w:pPr>
              <w:pStyle w:val="normal0"/>
              <w:spacing w:after="0" w:line="240" w:lineRule="auto"/>
            </w:pPr>
          </w:p>
          <w:p w14:paraId="243865D4" w14:textId="77777777" w:rsidR="00DE0543" w:rsidRDefault="00DE0543">
            <w:pPr>
              <w:pStyle w:val="normal0"/>
              <w:spacing w:after="0" w:line="240" w:lineRule="auto"/>
            </w:pPr>
          </w:p>
          <w:p w14:paraId="22A742E5" w14:textId="77777777" w:rsidR="00DE0543" w:rsidRDefault="00DE0543">
            <w:pPr>
              <w:pStyle w:val="normal0"/>
              <w:spacing w:after="0" w:line="240" w:lineRule="auto"/>
            </w:pPr>
          </w:p>
        </w:tc>
        <w:tc>
          <w:tcPr>
            <w:tcW w:w="4410" w:type="dxa"/>
            <w:tcMar>
              <w:top w:w="100" w:type="dxa"/>
              <w:left w:w="108" w:type="dxa"/>
              <w:bottom w:w="100" w:type="dxa"/>
              <w:right w:w="108" w:type="dxa"/>
            </w:tcMar>
          </w:tcPr>
          <w:p w14:paraId="05BE0C9C" w14:textId="77777777" w:rsidR="00DE0543" w:rsidRDefault="00DE0543">
            <w:pPr>
              <w:pStyle w:val="normal0"/>
              <w:spacing w:after="0" w:line="240" w:lineRule="auto"/>
            </w:pPr>
          </w:p>
          <w:p w14:paraId="66F65FBC" w14:textId="77777777" w:rsidR="00DE0543" w:rsidRDefault="00FE4EEA">
            <w:pPr>
              <w:pStyle w:val="normal0"/>
              <w:spacing w:after="0" w:line="240" w:lineRule="auto"/>
            </w:pPr>
            <w:r>
              <w:t>Ensure students have teams established and that they have selected the synchronous tools they will be using for the brainstorming session.</w:t>
            </w:r>
          </w:p>
          <w:p w14:paraId="14C3AFCD" w14:textId="77777777" w:rsidR="00DE0543" w:rsidRDefault="00DE0543">
            <w:pPr>
              <w:pStyle w:val="normal0"/>
              <w:spacing w:after="0" w:line="240" w:lineRule="auto"/>
            </w:pPr>
          </w:p>
          <w:p w14:paraId="323C12A8" w14:textId="77777777" w:rsidR="00DE0543" w:rsidRDefault="00DE0543">
            <w:pPr>
              <w:pStyle w:val="normal0"/>
              <w:spacing w:after="0" w:line="240" w:lineRule="auto"/>
            </w:pPr>
          </w:p>
        </w:tc>
        <w:tc>
          <w:tcPr>
            <w:tcW w:w="4464" w:type="dxa"/>
            <w:tcMar>
              <w:top w:w="100" w:type="dxa"/>
              <w:left w:w="108" w:type="dxa"/>
              <w:bottom w:w="100" w:type="dxa"/>
              <w:right w:w="108" w:type="dxa"/>
            </w:tcMar>
          </w:tcPr>
          <w:p w14:paraId="45A47FF0" w14:textId="77777777" w:rsidR="00DE0543" w:rsidRDefault="00FE4EEA">
            <w:pPr>
              <w:pStyle w:val="normal0"/>
              <w:spacing w:after="220" w:line="295" w:lineRule="auto"/>
            </w:pPr>
            <w:r>
              <w:br/>
            </w:r>
            <w:r>
              <w:t xml:space="preserve">In teams, students will brainstorm topics and session outcomes for Assignment 2: Synchronous Lesson Design that takes place in Unit 4.  </w:t>
            </w:r>
          </w:p>
          <w:p w14:paraId="52CCE9E9" w14:textId="77777777" w:rsidR="00DE0543" w:rsidRDefault="00FE4EEA">
            <w:pPr>
              <w:pStyle w:val="normal0"/>
              <w:spacing w:after="220" w:line="295" w:lineRule="auto"/>
            </w:pPr>
            <w:r>
              <w:t>Students are asked to consider the various tools identified in the Best Practices class document developed in Assignmen</w:t>
            </w:r>
            <w:r>
              <w:t>t 1.   This brainstorming activity will be conducted in teams using a synchronous tool chosen by each team.</w:t>
            </w:r>
          </w:p>
          <w:p w14:paraId="1A3673AD" w14:textId="77777777" w:rsidR="00DE0543" w:rsidRDefault="00DE0543">
            <w:pPr>
              <w:pStyle w:val="normal0"/>
              <w:spacing w:after="220" w:line="295" w:lineRule="auto"/>
            </w:pPr>
          </w:p>
          <w:p w14:paraId="36007A22" w14:textId="77777777" w:rsidR="00DE0543" w:rsidRDefault="00FE4EEA">
            <w:pPr>
              <w:pStyle w:val="normal0"/>
              <w:spacing w:after="220" w:line="295" w:lineRule="auto"/>
            </w:pPr>
            <w:r>
              <w:lastRenderedPageBreak/>
              <w:t>Students are asked to Identify the audience for their presentation</w:t>
            </w:r>
            <w:proofErr w:type="gramStart"/>
            <w:r>
              <w:t>,  prepare</w:t>
            </w:r>
            <w:proofErr w:type="gramEnd"/>
            <w:r>
              <w:t xml:space="preserve"> a draft audience analysis document and upload it to the assignment dro</w:t>
            </w:r>
            <w:r>
              <w:t>pbox at the end of week 4.</w:t>
            </w:r>
          </w:p>
          <w:p w14:paraId="4B5A2C5D" w14:textId="77777777" w:rsidR="00DE0543" w:rsidRDefault="00DE0543">
            <w:pPr>
              <w:pStyle w:val="normal0"/>
              <w:spacing w:after="0" w:line="240" w:lineRule="auto"/>
            </w:pPr>
          </w:p>
        </w:tc>
        <w:tc>
          <w:tcPr>
            <w:tcW w:w="3294" w:type="dxa"/>
            <w:tcMar>
              <w:top w:w="100" w:type="dxa"/>
              <w:left w:w="108" w:type="dxa"/>
              <w:bottom w:w="100" w:type="dxa"/>
              <w:right w:w="108" w:type="dxa"/>
            </w:tcMar>
          </w:tcPr>
          <w:p w14:paraId="5D64C699" w14:textId="77777777" w:rsidR="00DE0543" w:rsidRDefault="00FE4EEA">
            <w:pPr>
              <w:pStyle w:val="normal0"/>
              <w:spacing w:after="220" w:line="295" w:lineRule="auto"/>
            </w:pPr>
            <w:r>
              <w:lastRenderedPageBreak/>
              <w:br/>
              <w:t>Entin, E.B., Sidman, J., &amp; Neal, L. (2009).</w:t>
            </w:r>
            <w:r>
              <w:rPr>
                <w:color w:val="4D4D4F"/>
              </w:rPr>
              <w:t xml:space="preserve">  </w:t>
            </w:r>
            <w:hyperlink r:id="rId5">
              <w:r>
                <w:rPr>
                  <w:i/>
                  <w:color w:val="9B4B10"/>
                </w:rPr>
                <w:t>Computer-supported collaborative learning: Best practices and principles for instructors. Development of online d</w:t>
              </w:r>
              <w:r>
                <w:rPr>
                  <w:i/>
                  <w:color w:val="9B4B10"/>
                </w:rPr>
                <w:t>istributed training: Practical considerations and lessons learned.</w:t>
              </w:r>
            </w:hyperlink>
            <w:r>
              <w:rPr>
                <w:color w:val="4D4D4F"/>
              </w:rPr>
              <w:t xml:space="preserve"> </w:t>
            </w:r>
            <w:proofErr w:type="gramStart"/>
            <w:r>
              <w:t>eLearn</w:t>
            </w:r>
            <w:proofErr w:type="gramEnd"/>
            <w:r>
              <w:t xml:space="preserve"> Magazine.</w:t>
            </w:r>
          </w:p>
          <w:p w14:paraId="7E23BB1D" w14:textId="77777777" w:rsidR="00DE0543" w:rsidRDefault="00FE4EEA">
            <w:pPr>
              <w:pStyle w:val="normal0"/>
              <w:spacing w:after="220" w:line="295" w:lineRule="auto"/>
            </w:pPr>
            <w:r>
              <w:t>Fahy, P.J., (2008).</w:t>
            </w:r>
            <w:r>
              <w:rPr>
                <w:color w:val="4D4D4F"/>
              </w:rPr>
              <w:t xml:space="preserve"> </w:t>
            </w:r>
            <w:hyperlink r:id="rId6">
              <w:r>
                <w:rPr>
                  <w:color w:val="9B4B10"/>
                </w:rPr>
                <w:t>Chapter six: Media characteristics and online learning technology</w:t>
              </w:r>
            </w:hyperlink>
            <w:r>
              <w:rPr>
                <w:color w:val="4D4D4F"/>
              </w:rPr>
              <w:t xml:space="preserve">. </w:t>
            </w:r>
            <w:proofErr w:type="gramStart"/>
            <w:r>
              <w:t xml:space="preserve">In T. Anderson &amp; F. </w:t>
            </w:r>
            <w:r>
              <w:t xml:space="preserve">Elloum (Eds.), </w:t>
            </w:r>
            <w:r>
              <w:lastRenderedPageBreak/>
              <w:t>Theory and practice of online learning.</w:t>
            </w:r>
            <w:proofErr w:type="gramEnd"/>
            <w:r>
              <w:t xml:space="preserve">  Athabasca University.</w:t>
            </w:r>
            <w:r>
              <w:tab/>
              <w:t xml:space="preserve"> </w:t>
            </w:r>
          </w:p>
          <w:p w14:paraId="3BCE3814" w14:textId="77777777" w:rsidR="00DE0543" w:rsidRDefault="00FE4EEA">
            <w:pPr>
              <w:pStyle w:val="normal0"/>
              <w:spacing w:after="220" w:line="295" w:lineRule="auto"/>
            </w:pPr>
            <w:r>
              <w:t>Finkelstein, J. (2006). Learning in real time:  Synchronous teaching and learning online. San Francisco: Jossey-Bass. (Chapter 5, pp. 93 -98 and Chapter 6).</w:t>
            </w:r>
          </w:p>
          <w:p w14:paraId="714A2A82" w14:textId="77777777" w:rsidR="00DE0543" w:rsidRDefault="00FE4EEA">
            <w:pPr>
              <w:pStyle w:val="normal0"/>
              <w:spacing w:after="220" w:line="295" w:lineRule="auto"/>
            </w:pPr>
            <w:r>
              <w:t>Hyder, K., Kwinn, A</w:t>
            </w:r>
            <w:r>
              <w:t>., Miazga, R., &amp; Murray, M. (2007)</w:t>
            </w:r>
            <w:r>
              <w:rPr>
                <w:color w:val="4D4D4F"/>
              </w:rPr>
              <w:t>.</w:t>
            </w:r>
            <w:hyperlink r:id="rId7">
              <w:r>
                <w:rPr>
                  <w:color w:val="9B4B10"/>
                </w:rPr>
                <w:t xml:space="preserve"> The eLearning guild’s handbook on synchronous </w:t>
              </w:r>
              <w:proofErr w:type="gramStart"/>
              <w:r>
                <w:rPr>
                  <w:color w:val="9B4B10"/>
                </w:rPr>
                <w:t>e-learning</w:t>
              </w:r>
              <w:proofErr w:type="gramEnd"/>
              <w:r>
                <w:rPr>
                  <w:color w:val="9B4B10"/>
                </w:rPr>
                <w:t>.</w:t>
              </w:r>
            </w:hyperlink>
            <w:r>
              <w:rPr>
                <w:color w:val="4D4D4F"/>
              </w:rPr>
              <w:t xml:space="preserve"> </w:t>
            </w:r>
            <w:r>
              <w:t xml:space="preserve">Santa Rosa, CA: The e-Learning Guild. (Chapters 3, 4, </w:t>
            </w:r>
            <w:r>
              <w:t>and 5).</w:t>
            </w:r>
          </w:p>
          <w:p w14:paraId="454DB5DC" w14:textId="77777777" w:rsidR="00DE0543" w:rsidRDefault="00FE4EEA">
            <w:pPr>
              <w:pStyle w:val="Heading4"/>
              <w:spacing w:before="220" w:after="220" w:line="216" w:lineRule="auto"/>
            </w:pPr>
            <w:bookmarkStart w:id="1" w:name="h.rm2i9om29tlb" w:colFirst="0" w:colLast="0"/>
            <w:bookmarkEnd w:id="1"/>
            <w:r>
              <w:rPr>
                <w:rFonts w:ascii="Calibri" w:eastAsia="Calibri" w:hAnsi="Calibri" w:cs="Calibri"/>
                <w:color w:val="144163"/>
                <w:sz w:val="22"/>
              </w:rPr>
              <w:t>Video resources</w:t>
            </w:r>
          </w:p>
          <w:p w14:paraId="5146A3D8" w14:textId="77777777" w:rsidR="00DE0543" w:rsidRDefault="00FE4EEA">
            <w:pPr>
              <w:pStyle w:val="normal0"/>
              <w:spacing w:after="220" w:line="295" w:lineRule="auto"/>
            </w:pPr>
            <w:r>
              <w:t>Gwenna Moss Centre for Teaching Effectiveness, U. of Saskatchewan. (2012, November 28).</w:t>
            </w:r>
            <w:hyperlink r:id="rId8">
              <w:r>
                <w:rPr>
                  <w:color w:val="9B4B10"/>
                </w:rPr>
                <w:t xml:space="preserve"> Guest lecturers in online courses</w:t>
              </w:r>
            </w:hyperlink>
            <w:r>
              <w:rPr>
                <w:color w:val="4D4D4F"/>
              </w:rPr>
              <w:t xml:space="preserve">. </w:t>
            </w:r>
            <w:r>
              <w:t>(</w:t>
            </w:r>
            <w:proofErr w:type="gramStart"/>
            <w:r>
              <w:t>watch</w:t>
            </w:r>
            <w:proofErr w:type="gramEnd"/>
            <w:r>
              <w:t xml:space="preserve"> to 3min mark)</w:t>
            </w:r>
            <w:r>
              <w:t>‬</w:t>
            </w:r>
            <w:r>
              <w:t>‬</w:t>
            </w:r>
            <w:r>
              <w:t>‬</w:t>
            </w:r>
            <w:r>
              <w:t xml:space="preserve">‬. </w:t>
            </w:r>
            <w:r>
              <w:rPr>
                <w:color w:val="4D4D4F"/>
              </w:rPr>
              <w:t>‬</w:t>
            </w:r>
            <w:r>
              <w:rPr>
                <w:color w:val="4D4D4F"/>
              </w:rPr>
              <w:t>‬</w:t>
            </w:r>
            <w:r>
              <w:rPr>
                <w:color w:val="4D4D4F"/>
              </w:rPr>
              <w:t>‬</w:t>
            </w:r>
            <w:r>
              <w:rPr>
                <w:color w:val="4D4D4F"/>
              </w:rPr>
              <w:t>‬</w:t>
            </w:r>
          </w:p>
          <w:p w14:paraId="1E087707" w14:textId="77777777" w:rsidR="00DE0543" w:rsidRDefault="00FE4EEA">
            <w:pPr>
              <w:pStyle w:val="normal0"/>
              <w:spacing w:after="220" w:line="295" w:lineRule="auto"/>
            </w:pPr>
            <w:r>
              <w:t>Gwenna Moss Centre for Teaching</w:t>
            </w:r>
            <w:r>
              <w:t xml:space="preserve"> Effectiveness, U. of Saskatchewan. (2012, November 28). </w:t>
            </w:r>
            <w:dir w:val="ltr">
              <w:hyperlink r:id="rId9">
                <w:r>
                  <w:rPr>
                    <w:color w:val="9B4B10"/>
                  </w:rPr>
                  <w:t xml:space="preserve">Using collaborate or other </w:t>
                </w:r>
                <w:r>
                  <w:rPr>
                    <w:color w:val="9B4B10"/>
                  </w:rPr>
                  <w:lastRenderedPageBreak/>
                  <w:t>synchronous tools</w:t>
                </w:r>
              </w:hyperlink>
              <w:r>
                <w:rPr>
                  <w:color w:val="4D4D4F"/>
                </w:rPr>
                <w:t>‬</w:t>
              </w:r>
              <w:r>
                <w:rPr>
                  <w:color w:val="4D4D4F"/>
                </w:rPr>
                <w:t xml:space="preserve">. </w:t>
              </w:r>
            </w:dir>
          </w:p>
          <w:p w14:paraId="45CB0E0D" w14:textId="77777777" w:rsidR="00DE0543" w:rsidRDefault="00DE0543">
            <w:pPr>
              <w:pStyle w:val="normal0"/>
              <w:spacing w:after="0"/>
            </w:pPr>
          </w:p>
        </w:tc>
      </w:tr>
      <w:tr w:rsidR="00DE0543" w14:paraId="3EB5EE31" w14:textId="77777777">
        <w:tblPrEx>
          <w:tblCellMar>
            <w:top w:w="0" w:type="dxa"/>
            <w:bottom w:w="0" w:type="dxa"/>
          </w:tblCellMar>
        </w:tblPrEx>
        <w:tc>
          <w:tcPr>
            <w:tcW w:w="1008" w:type="dxa"/>
            <w:tcMar>
              <w:top w:w="100" w:type="dxa"/>
              <w:left w:w="108" w:type="dxa"/>
              <w:bottom w:w="100" w:type="dxa"/>
              <w:right w:w="108" w:type="dxa"/>
            </w:tcMar>
          </w:tcPr>
          <w:p w14:paraId="491E6507" w14:textId="77777777" w:rsidR="00DE0543" w:rsidRDefault="00FE4EEA">
            <w:pPr>
              <w:pStyle w:val="normal0"/>
              <w:spacing w:after="0" w:line="240" w:lineRule="auto"/>
            </w:pPr>
            <w:r>
              <w:lastRenderedPageBreak/>
              <w:t>Week 4</w:t>
            </w:r>
          </w:p>
          <w:p w14:paraId="2E169E34" w14:textId="77777777" w:rsidR="00DE0543" w:rsidRDefault="00DE0543">
            <w:pPr>
              <w:pStyle w:val="normal0"/>
              <w:spacing w:after="0" w:line="240" w:lineRule="auto"/>
            </w:pPr>
          </w:p>
          <w:p w14:paraId="34BFF081" w14:textId="77777777" w:rsidR="00DE0543" w:rsidRDefault="00DE0543">
            <w:pPr>
              <w:pStyle w:val="normal0"/>
              <w:spacing w:after="0" w:line="240" w:lineRule="auto"/>
            </w:pPr>
          </w:p>
          <w:p w14:paraId="427A66DF" w14:textId="77777777" w:rsidR="00DE0543" w:rsidRDefault="00DE0543">
            <w:pPr>
              <w:pStyle w:val="normal0"/>
              <w:spacing w:after="0" w:line="240" w:lineRule="auto"/>
            </w:pPr>
          </w:p>
        </w:tc>
        <w:tc>
          <w:tcPr>
            <w:tcW w:w="4410" w:type="dxa"/>
            <w:tcMar>
              <w:top w:w="100" w:type="dxa"/>
              <w:left w:w="108" w:type="dxa"/>
              <w:bottom w:w="100" w:type="dxa"/>
              <w:right w:w="108" w:type="dxa"/>
            </w:tcMar>
          </w:tcPr>
          <w:p w14:paraId="6CC942F7" w14:textId="77777777" w:rsidR="00DE0543" w:rsidRDefault="00DE0543">
            <w:pPr>
              <w:pStyle w:val="normal0"/>
              <w:spacing w:after="0" w:line="240" w:lineRule="auto"/>
            </w:pPr>
          </w:p>
          <w:p w14:paraId="001AE24A" w14:textId="77777777" w:rsidR="00DE0543" w:rsidRDefault="00FE4EEA">
            <w:pPr>
              <w:pStyle w:val="normal0"/>
              <w:spacing w:after="0" w:line="240" w:lineRule="auto"/>
            </w:pPr>
            <w:r>
              <w:t>Ensure the topic(s), dates, and expectations have been established for</w:t>
            </w:r>
            <w:r>
              <w:t xml:space="preserve"> the Week 5 plenary discussion.</w:t>
            </w:r>
          </w:p>
        </w:tc>
        <w:tc>
          <w:tcPr>
            <w:tcW w:w="4464" w:type="dxa"/>
            <w:tcMar>
              <w:top w:w="100" w:type="dxa"/>
              <w:left w:w="108" w:type="dxa"/>
              <w:bottom w:w="100" w:type="dxa"/>
              <w:right w:w="108" w:type="dxa"/>
            </w:tcMar>
          </w:tcPr>
          <w:p w14:paraId="2267DB5F" w14:textId="77777777" w:rsidR="00DE0543" w:rsidRDefault="00DE0543">
            <w:pPr>
              <w:pStyle w:val="normal0"/>
              <w:spacing w:after="0" w:line="240" w:lineRule="auto"/>
            </w:pPr>
          </w:p>
          <w:p w14:paraId="05577E9E" w14:textId="77777777" w:rsidR="00DE0543" w:rsidRDefault="00FE4EEA">
            <w:pPr>
              <w:pStyle w:val="normal0"/>
              <w:spacing w:after="0" w:line="240" w:lineRule="auto"/>
            </w:pPr>
            <w:r>
              <w:t>Students will upload their draft audience analysis document to the designated assignment dropbox by the end of this week.</w:t>
            </w:r>
          </w:p>
        </w:tc>
        <w:tc>
          <w:tcPr>
            <w:tcW w:w="3294" w:type="dxa"/>
            <w:tcMar>
              <w:top w:w="100" w:type="dxa"/>
              <w:left w:w="108" w:type="dxa"/>
              <w:bottom w:w="100" w:type="dxa"/>
              <w:right w:w="108" w:type="dxa"/>
            </w:tcMar>
          </w:tcPr>
          <w:p w14:paraId="08A1309E" w14:textId="77777777" w:rsidR="00DE0543" w:rsidRDefault="00FE4EEA">
            <w:pPr>
              <w:pStyle w:val="Heading4"/>
              <w:spacing w:before="220" w:after="220" w:line="216" w:lineRule="auto"/>
            </w:pPr>
            <w:r>
              <w:rPr>
                <w:rFonts w:ascii="Calibri" w:eastAsia="Calibri" w:hAnsi="Calibri" w:cs="Calibri"/>
                <w:color w:val="144163"/>
                <w:sz w:val="22"/>
              </w:rPr>
              <w:t>Readings</w:t>
            </w:r>
          </w:p>
          <w:p w14:paraId="2AD2E03C" w14:textId="77777777" w:rsidR="00DE0543" w:rsidRDefault="00FE4EEA">
            <w:pPr>
              <w:pStyle w:val="normal0"/>
              <w:spacing w:after="220" w:line="295" w:lineRule="auto"/>
            </w:pPr>
            <w:r>
              <w:t>Finkelstein, J. (2006). Learning in real time:  Synchronous teaching and learning online. San Francisco: Jossey-Bass. (Chapter 5, pp. 65 - 93).</w:t>
            </w:r>
          </w:p>
          <w:p w14:paraId="76F13888" w14:textId="77777777" w:rsidR="00DE0543" w:rsidRDefault="00FE4EEA">
            <w:pPr>
              <w:pStyle w:val="normal0"/>
              <w:spacing w:after="220" w:line="295" w:lineRule="auto"/>
            </w:pPr>
            <w:r>
              <w:t>Hyder, K., Kwinn, A., Miazga, R., &amp; Murray, M. (2007).</w:t>
            </w:r>
            <w:hyperlink r:id="rId10">
              <w:r>
                <w:rPr>
                  <w:color w:val="9B4B10"/>
                </w:rPr>
                <w:t xml:space="preserve"> The eLearning guild’s handbook on synchronous </w:t>
              </w:r>
              <w:proofErr w:type="gramStart"/>
              <w:r>
                <w:rPr>
                  <w:color w:val="9B4B10"/>
                </w:rPr>
                <w:t>e-learning</w:t>
              </w:r>
              <w:proofErr w:type="gramEnd"/>
              <w:r>
                <w:rPr>
                  <w:color w:val="9B4B10"/>
                </w:rPr>
                <w:t>.</w:t>
              </w:r>
            </w:hyperlink>
            <w:r>
              <w:rPr>
                <w:color w:val="4D4D4F"/>
              </w:rPr>
              <w:t xml:space="preserve"> </w:t>
            </w:r>
            <w:r>
              <w:t>Santa Rosa, CA: The e-Learning Guild. (Chapter 3, pp. 43-44; Chapter 6 and 7).</w:t>
            </w:r>
          </w:p>
          <w:p w14:paraId="1F12B856" w14:textId="77777777" w:rsidR="00DE0543" w:rsidRDefault="00FE4EEA">
            <w:pPr>
              <w:pStyle w:val="normal0"/>
              <w:spacing w:after="220" w:line="295" w:lineRule="auto"/>
            </w:pPr>
            <w:r>
              <w:rPr>
                <w:color w:val="434343"/>
              </w:rPr>
              <w:t>Stewart. A.R., Harlow, D.B. &amp; DeBacco, K. (2011).</w:t>
            </w:r>
            <w:r>
              <w:rPr>
                <w:color w:val="4D4D4F"/>
              </w:rPr>
              <w:t xml:space="preserve"> </w:t>
            </w:r>
            <w:hyperlink r:id="rId11">
              <w:r>
                <w:rPr>
                  <w:color w:val="9B4B10"/>
                </w:rPr>
                <w:t>Students’ experience of synchronous learning in distributed environments</w:t>
              </w:r>
            </w:hyperlink>
            <w:r>
              <w:rPr>
                <w:color w:val="4D4D4F"/>
              </w:rPr>
              <w:t xml:space="preserve">. </w:t>
            </w:r>
            <w:r>
              <w:t>Distance Education, 32 (3), 357–381. DOI: 10.1080/01587919.2011.610289.</w:t>
            </w:r>
          </w:p>
          <w:p w14:paraId="2C3689B2" w14:textId="77777777" w:rsidR="00DE0543" w:rsidRDefault="00FE4EEA">
            <w:pPr>
              <w:pStyle w:val="Heading4"/>
              <w:spacing w:before="220" w:after="220" w:line="216" w:lineRule="auto"/>
            </w:pPr>
            <w:bookmarkStart w:id="2" w:name="h.vyguiw3r7z3h" w:colFirst="0" w:colLast="0"/>
            <w:bookmarkEnd w:id="2"/>
            <w:r>
              <w:rPr>
                <w:rFonts w:ascii="Calibri" w:eastAsia="Calibri" w:hAnsi="Calibri" w:cs="Calibri"/>
                <w:color w:val="144163"/>
                <w:sz w:val="22"/>
              </w:rPr>
              <w:t>Video resources</w:t>
            </w:r>
          </w:p>
          <w:p w14:paraId="434D2BF5" w14:textId="77777777" w:rsidR="00DE0543" w:rsidRDefault="00FE4EEA">
            <w:pPr>
              <w:pStyle w:val="normal0"/>
              <w:spacing w:after="220" w:line="295" w:lineRule="auto"/>
            </w:pPr>
            <w:r>
              <w:lastRenderedPageBreak/>
              <w:t>Rothler, D. (Presenter). (2013, May 30).</w:t>
            </w:r>
            <w:r>
              <w:rPr>
                <w:color w:val="4D4D4F"/>
              </w:rPr>
              <w:t xml:space="preserve"> </w:t>
            </w:r>
            <w:dir w:val="ltr">
              <w:hyperlink r:id="rId12">
                <w:r>
                  <w:rPr>
                    <w:color w:val="9B4B10"/>
                  </w:rPr>
                  <w:t>Synchronous tools and how to use them - blended learning advanced teacher training, Part 2</w:t>
                </w:r>
              </w:hyperlink>
              <w:proofErr w:type="gramStart"/>
              <w:r>
                <w:rPr>
                  <w:color w:val="4D4D4F"/>
                </w:rPr>
                <w:t>.</w:t>
              </w:r>
              <w:r>
                <w:rPr>
                  <w:color w:val="4D4D4F"/>
                </w:rPr>
                <w:t>‬</w:t>
              </w:r>
              <w:proofErr w:type="gramEnd"/>
              <w:r>
                <w:rPr>
                  <w:color w:val="4D4D4F"/>
                </w:rPr>
                <w:t xml:space="preserve"> </w:t>
              </w:r>
              <w:r>
                <w:t>[YouTube video]</w:t>
              </w:r>
            </w:dir>
          </w:p>
          <w:p w14:paraId="029C3BFC" w14:textId="77777777" w:rsidR="00DE0543" w:rsidRDefault="00DE0543">
            <w:pPr>
              <w:pStyle w:val="normal0"/>
              <w:spacing w:after="0"/>
            </w:pPr>
          </w:p>
        </w:tc>
      </w:tr>
      <w:tr w:rsidR="00DE0543" w14:paraId="26D0FBB0" w14:textId="77777777">
        <w:tblPrEx>
          <w:tblCellMar>
            <w:top w:w="0" w:type="dxa"/>
            <w:bottom w:w="0" w:type="dxa"/>
          </w:tblCellMar>
        </w:tblPrEx>
        <w:tc>
          <w:tcPr>
            <w:tcW w:w="1008" w:type="dxa"/>
            <w:tcMar>
              <w:top w:w="100" w:type="dxa"/>
              <w:left w:w="108" w:type="dxa"/>
              <w:bottom w:w="100" w:type="dxa"/>
              <w:right w:w="108" w:type="dxa"/>
            </w:tcMar>
          </w:tcPr>
          <w:p w14:paraId="647F97C1" w14:textId="77777777" w:rsidR="00DE0543" w:rsidRDefault="00FE4EEA">
            <w:pPr>
              <w:pStyle w:val="normal0"/>
              <w:spacing w:after="0" w:line="240" w:lineRule="auto"/>
            </w:pPr>
            <w:r>
              <w:lastRenderedPageBreak/>
              <w:t>Week 5</w:t>
            </w:r>
          </w:p>
        </w:tc>
        <w:tc>
          <w:tcPr>
            <w:tcW w:w="4410" w:type="dxa"/>
            <w:tcMar>
              <w:top w:w="100" w:type="dxa"/>
              <w:left w:w="108" w:type="dxa"/>
              <w:bottom w:w="100" w:type="dxa"/>
              <w:right w:w="108" w:type="dxa"/>
            </w:tcMar>
          </w:tcPr>
          <w:p w14:paraId="0DEDC2AC" w14:textId="77777777" w:rsidR="00DE0543" w:rsidRDefault="00FE4EEA">
            <w:pPr>
              <w:pStyle w:val="normal0"/>
              <w:spacing w:after="0" w:line="240" w:lineRule="auto"/>
            </w:pPr>
            <w:r>
              <w:br/>
              <w:t>Facilitate and participate in the</w:t>
            </w:r>
            <w:r>
              <w:t xml:space="preserve"> plenary di</w:t>
            </w:r>
            <w:r>
              <w:t>scussion forum.</w:t>
            </w:r>
          </w:p>
        </w:tc>
        <w:tc>
          <w:tcPr>
            <w:tcW w:w="4464" w:type="dxa"/>
            <w:tcMar>
              <w:top w:w="100" w:type="dxa"/>
              <w:left w:w="108" w:type="dxa"/>
              <w:bottom w:w="100" w:type="dxa"/>
              <w:right w:w="108" w:type="dxa"/>
            </w:tcMar>
          </w:tcPr>
          <w:p w14:paraId="7552081D" w14:textId="77777777" w:rsidR="00DE0543" w:rsidRDefault="00FE4EEA">
            <w:pPr>
              <w:pStyle w:val="normal0"/>
              <w:spacing w:after="0" w:line="240" w:lineRule="auto"/>
            </w:pPr>
            <w:r>
              <w:br/>
              <w:t>Students will participate in a discussion forum: Plenary discussion as a class.</w:t>
            </w:r>
          </w:p>
        </w:tc>
        <w:tc>
          <w:tcPr>
            <w:tcW w:w="3294" w:type="dxa"/>
            <w:tcMar>
              <w:top w:w="100" w:type="dxa"/>
              <w:left w:w="108" w:type="dxa"/>
              <w:bottom w:w="100" w:type="dxa"/>
              <w:right w:w="108" w:type="dxa"/>
            </w:tcMar>
          </w:tcPr>
          <w:p w14:paraId="670E3340" w14:textId="77777777" w:rsidR="00DE0543" w:rsidRDefault="00DE0543">
            <w:pPr>
              <w:pStyle w:val="Heading4"/>
              <w:spacing w:before="220" w:after="220" w:line="216" w:lineRule="auto"/>
            </w:pPr>
            <w:bookmarkStart w:id="3" w:name="h.5iv967b1ho84" w:colFirst="0" w:colLast="0"/>
            <w:bookmarkEnd w:id="3"/>
          </w:p>
        </w:tc>
      </w:tr>
    </w:tbl>
    <w:p w14:paraId="3A5455D2" w14:textId="77777777" w:rsidR="00DE0543" w:rsidRDefault="00DE0543">
      <w:pPr>
        <w:pStyle w:val="normal0"/>
      </w:pPr>
    </w:p>
    <w:sectPr w:rsidR="00DE0543">
      <w:pgSz w:w="15840" w:h="122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useFELayout/>
    <w:compatSetting w:name="compatibilityMode" w:uri="http://schemas.microsoft.com/office/word" w:val="14"/>
  </w:compat>
  <w:rsids>
    <w:rsidRoot w:val="00DE0543"/>
    <w:rsid w:val="00DE0543"/>
    <w:rsid w:val="00FE4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58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spacing w:before="100" w:after="100" w:line="240" w:lineRule="auto"/>
      <w:outlineLvl w:val="3"/>
    </w:pPr>
    <w:rPr>
      <w:rFonts w:ascii="Times New Roman" w:eastAsia="Times New Roman" w:hAnsi="Times New Roman" w:cs="Times New Roman"/>
      <w:b/>
      <w:sz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after="200" w:line="276" w:lineRule="auto"/>
    </w:pPr>
    <w:rPr>
      <w:rFonts w:ascii="Calibri" w:eastAsia="Calibri" w:hAnsi="Calibri" w:cs="Calibri"/>
      <w:color w:val="000000"/>
      <w:sz w:val="22"/>
    </w:rPr>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spacing w:before="100" w:after="100" w:line="240" w:lineRule="auto"/>
      <w:outlineLvl w:val="3"/>
    </w:pPr>
    <w:rPr>
      <w:rFonts w:ascii="Times New Roman" w:eastAsia="Times New Roman" w:hAnsi="Times New Roman" w:cs="Times New Roman"/>
      <w:b/>
      <w:sz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after="200" w:line="276" w:lineRule="auto"/>
    </w:pPr>
    <w:rPr>
      <w:rFonts w:ascii="Calibri" w:eastAsia="Calibri" w:hAnsi="Calibri" w:cs="Calibri"/>
      <w:color w:val="000000"/>
      <w:sz w:val="22"/>
    </w:rPr>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andfonline.com/doi/pdf/10.1080/01587919.2011.610289" TargetMode="External"/><Relationship Id="rId12" Type="http://schemas.openxmlformats.org/officeDocument/2006/relationships/hyperlink" Target="http://youtu.be/QVvdN8o_I5A"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learnmag.acm.org/featured.cfm?aid=1599451" TargetMode="External"/><Relationship Id="rId6" Type="http://schemas.openxmlformats.org/officeDocument/2006/relationships/hyperlink" Target="http://cde.athabascau.ca/online_book/ch6.html" TargetMode="External"/><Relationship Id="rId7" Type="http://schemas.openxmlformats.org/officeDocument/2006/relationships/hyperlink" Target="http://ebookee.org/The-eLearning-Guild-s-Handbook-on-Synchronous-e-Learning_1058693.html" TargetMode="External"/><Relationship Id="rId8" Type="http://schemas.openxmlformats.org/officeDocument/2006/relationships/hyperlink" Target="http://youtu.be/1gWPnrj1YpQ" TargetMode="External"/><Relationship Id="rId9" Type="http://schemas.openxmlformats.org/officeDocument/2006/relationships/hyperlink" Target="http://youtu.be/fR5svdb0_2Y" TargetMode="External"/><Relationship Id="rId10" Type="http://schemas.openxmlformats.org/officeDocument/2006/relationships/hyperlink" Target="http://ebookee.org/The-eLearning-Guild-s-Handbook-on-Synchronous-e-Learning_10586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3904</Characters>
  <Application>Microsoft Macintosh Word</Application>
  <DocSecurity>0</DocSecurity>
  <Lines>32</Lines>
  <Paragraphs>9</Paragraphs>
  <ScaleCrop>false</ScaleCrop>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 Unit 3 - Weeks 3 &amp; 4.docx</dc:title>
  <cp:lastModifiedBy>Microsoft Office User</cp:lastModifiedBy>
  <cp:revision>2</cp:revision>
  <dcterms:created xsi:type="dcterms:W3CDTF">2014-02-19T05:07:00Z</dcterms:created>
  <dcterms:modified xsi:type="dcterms:W3CDTF">2014-02-19T05:07:00Z</dcterms:modified>
</cp:coreProperties>
</file>