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7161CC" w14:textId="77777777" w:rsidR="00AB6C66" w:rsidRDefault="00F11915">
      <w:pPr>
        <w:pStyle w:val="normal0"/>
      </w:pPr>
      <w:bookmarkStart w:id="0" w:name="_GoBack"/>
      <w:bookmarkEnd w:id="0"/>
      <w:r>
        <w:rPr>
          <w:b/>
        </w:rPr>
        <w:t>Facilitating Learning in Synchronous Environments</w:t>
      </w:r>
    </w:p>
    <w:p w14:paraId="66C18907" w14:textId="77777777" w:rsidR="00AB6C66" w:rsidRDefault="00F11915">
      <w:pPr>
        <w:pStyle w:val="normal0"/>
      </w:pPr>
      <w:r>
        <w:rPr>
          <w:b/>
        </w:rPr>
        <w:t>Unit 4: weeks 6, 7, 8, &amp; 9</w:t>
      </w:r>
    </w:p>
    <w:p w14:paraId="29B2BB0B" w14:textId="77777777" w:rsidR="00AB6C66" w:rsidRDefault="00F11915">
      <w:pPr>
        <w:pStyle w:val="normal0"/>
        <w:spacing w:after="220" w:line="295" w:lineRule="auto"/>
      </w:pPr>
      <w:r>
        <w:rPr>
          <w:b/>
        </w:rPr>
        <w:t>Description:</w:t>
      </w:r>
      <w:r>
        <w:rPr>
          <w:b/>
        </w:rPr>
        <w:br/>
      </w:r>
      <w:r>
        <w:t>Unit 4 focuses on the process of actively facilitating real-time learning sessions. You will explore the key skills addressed in this unit: how to be an effective host in a synchronous learning environment who puts people at ease, facilitates connections a</w:t>
      </w:r>
      <w:r>
        <w:t>mong participants, makes everyone feel included, monitors the energy and provides an effective conclusion. You will also examine the various roles that good hosts play in facilitating synchronous sessions as well as specific facilitation strategies that ca</w:t>
      </w:r>
      <w:r>
        <w:t xml:space="preserve">n </w:t>
      </w:r>
      <w:proofErr w:type="gramStart"/>
      <w:r>
        <w:t>used</w:t>
      </w:r>
      <w:proofErr w:type="gramEnd"/>
      <w:r>
        <w:t xml:space="preserve">. Particular attention will be paid to examining strategies that support effective </w:t>
      </w:r>
      <w:proofErr w:type="gramStart"/>
      <w:r>
        <w:t>community-building</w:t>
      </w:r>
      <w:proofErr w:type="gramEnd"/>
      <w:r>
        <w:t>, engagement, collaboration, risk-taking and feedback.</w:t>
      </w:r>
    </w:p>
    <w:tbl>
      <w:tblPr>
        <w:tblW w:w="13173"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545"/>
        <w:gridCol w:w="3870"/>
        <w:gridCol w:w="4464"/>
        <w:gridCol w:w="3294"/>
      </w:tblGrid>
      <w:tr w:rsidR="00AB6C66" w14:paraId="27B9362E" w14:textId="77777777">
        <w:tblPrEx>
          <w:tblCellMar>
            <w:top w:w="0" w:type="dxa"/>
            <w:bottom w:w="0" w:type="dxa"/>
          </w:tblCellMar>
        </w:tblPrEx>
        <w:tc>
          <w:tcPr>
            <w:tcW w:w="1545" w:type="dxa"/>
            <w:tcMar>
              <w:top w:w="100" w:type="dxa"/>
              <w:left w:w="108" w:type="dxa"/>
              <w:bottom w:w="100" w:type="dxa"/>
              <w:right w:w="108" w:type="dxa"/>
            </w:tcMar>
          </w:tcPr>
          <w:p w14:paraId="48BE653E" w14:textId="77777777" w:rsidR="00AB6C66" w:rsidRDefault="00F11915">
            <w:pPr>
              <w:pStyle w:val="normal0"/>
              <w:spacing w:after="0" w:line="240" w:lineRule="auto"/>
            </w:pPr>
            <w:r>
              <w:t>Time</w:t>
            </w:r>
          </w:p>
        </w:tc>
        <w:tc>
          <w:tcPr>
            <w:tcW w:w="3870" w:type="dxa"/>
            <w:tcMar>
              <w:top w:w="100" w:type="dxa"/>
              <w:left w:w="108" w:type="dxa"/>
              <w:bottom w:w="100" w:type="dxa"/>
              <w:right w:w="108" w:type="dxa"/>
            </w:tcMar>
          </w:tcPr>
          <w:p w14:paraId="4B3EE9F8" w14:textId="77777777" w:rsidR="00AB6C66" w:rsidRDefault="00F11915">
            <w:pPr>
              <w:pStyle w:val="normal0"/>
              <w:spacing w:after="0" w:line="240" w:lineRule="auto"/>
            </w:pPr>
            <w:r>
              <w:t>Instructor Activities (What will the instructor do?)</w:t>
            </w:r>
          </w:p>
        </w:tc>
        <w:tc>
          <w:tcPr>
            <w:tcW w:w="4464" w:type="dxa"/>
            <w:tcMar>
              <w:top w:w="100" w:type="dxa"/>
              <w:left w:w="108" w:type="dxa"/>
              <w:bottom w:w="100" w:type="dxa"/>
              <w:right w:w="108" w:type="dxa"/>
            </w:tcMar>
          </w:tcPr>
          <w:p w14:paraId="47A29EE4" w14:textId="77777777" w:rsidR="00AB6C66" w:rsidRDefault="00F11915">
            <w:pPr>
              <w:pStyle w:val="normal0"/>
              <w:spacing w:after="0" w:line="240" w:lineRule="auto"/>
            </w:pPr>
            <w:r>
              <w:t>Learning/Learner Activities (what wi</w:t>
            </w:r>
            <w:r>
              <w:t>ll the learner do?)</w:t>
            </w:r>
          </w:p>
        </w:tc>
        <w:tc>
          <w:tcPr>
            <w:tcW w:w="3294" w:type="dxa"/>
            <w:tcMar>
              <w:top w:w="100" w:type="dxa"/>
              <w:left w:w="108" w:type="dxa"/>
              <w:bottom w:w="100" w:type="dxa"/>
              <w:right w:w="108" w:type="dxa"/>
            </w:tcMar>
          </w:tcPr>
          <w:p w14:paraId="44B67BD3" w14:textId="77777777" w:rsidR="00AB6C66" w:rsidRDefault="00F11915">
            <w:pPr>
              <w:pStyle w:val="normal0"/>
              <w:spacing w:after="0" w:line="240" w:lineRule="auto"/>
            </w:pPr>
            <w:r>
              <w:t>Resources (Handouts, PPT, video, etc.</w:t>
            </w:r>
            <w:r>
              <w:t>)</w:t>
            </w:r>
          </w:p>
        </w:tc>
      </w:tr>
      <w:tr w:rsidR="00AB6C66" w14:paraId="699A7022" w14:textId="77777777">
        <w:tblPrEx>
          <w:tblCellMar>
            <w:top w:w="0" w:type="dxa"/>
            <w:bottom w:w="0" w:type="dxa"/>
          </w:tblCellMar>
        </w:tblPrEx>
        <w:tc>
          <w:tcPr>
            <w:tcW w:w="1545" w:type="dxa"/>
            <w:tcMar>
              <w:top w:w="100" w:type="dxa"/>
              <w:left w:w="108" w:type="dxa"/>
              <w:bottom w:w="100" w:type="dxa"/>
              <w:right w:w="108" w:type="dxa"/>
            </w:tcMar>
          </w:tcPr>
          <w:p w14:paraId="0760451A" w14:textId="77777777" w:rsidR="00AB6C66" w:rsidRDefault="00F11915">
            <w:pPr>
              <w:pStyle w:val="normal0"/>
              <w:spacing w:after="0" w:line="240" w:lineRule="auto"/>
            </w:pPr>
            <w:r>
              <w:t>Weeks 6 &amp; 7</w:t>
            </w:r>
          </w:p>
        </w:tc>
        <w:tc>
          <w:tcPr>
            <w:tcW w:w="3870" w:type="dxa"/>
            <w:tcMar>
              <w:top w:w="100" w:type="dxa"/>
              <w:left w:w="108" w:type="dxa"/>
              <w:bottom w:w="100" w:type="dxa"/>
              <w:right w:w="108" w:type="dxa"/>
            </w:tcMar>
          </w:tcPr>
          <w:p w14:paraId="1347A760" w14:textId="77777777" w:rsidR="00AB6C66" w:rsidRDefault="00F11915">
            <w:pPr>
              <w:pStyle w:val="normal0"/>
              <w:spacing w:after="0" w:line="240" w:lineRule="auto"/>
            </w:pPr>
            <w:r>
              <w:t xml:space="preserve">Finalize and post team presentation schedule for weeks 8 and 9. </w:t>
            </w:r>
          </w:p>
          <w:p w14:paraId="3EECD8CE" w14:textId="77777777" w:rsidR="00AB6C66" w:rsidRDefault="00AB6C66">
            <w:pPr>
              <w:pStyle w:val="normal0"/>
              <w:spacing w:after="0" w:line="240" w:lineRule="auto"/>
            </w:pPr>
          </w:p>
          <w:p w14:paraId="1F4622E4" w14:textId="77777777" w:rsidR="00AB6C66" w:rsidRDefault="00F11915">
            <w:pPr>
              <w:pStyle w:val="normal0"/>
              <w:spacing w:after="0" w:line="240" w:lineRule="auto"/>
            </w:pPr>
            <w:r>
              <w:t>Collect all the images and notes submitted for the “good host” exercise and post them to Unit 4 plenary discussion foru</w:t>
            </w:r>
            <w:r>
              <w:t xml:space="preserve">m as a slideshow.  Facilitate a discussion in the forum exploring the themes arising from the submitted metaphors.  </w:t>
            </w:r>
          </w:p>
          <w:p w14:paraId="60B54650" w14:textId="77777777" w:rsidR="00AB6C66" w:rsidRDefault="00AB6C66">
            <w:pPr>
              <w:pStyle w:val="normal0"/>
              <w:spacing w:after="0" w:line="240" w:lineRule="auto"/>
            </w:pPr>
          </w:p>
          <w:p w14:paraId="255761D3" w14:textId="77777777" w:rsidR="00AB6C66" w:rsidRDefault="00F11915">
            <w:pPr>
              <w:pStyle w:val="normal0"/>
              <w:spacing w:after="0" w:line="240" w:lineRule="auto"/>
            </w:pPr>
            <w:r>
              <w:t>Post a recording of a sample synchronous session to the Unit 4 discussion forum and ask students to critique the session based on a series</w:t>
            </w:r>
            <w:r>
              <w:t xml:space="preserve"> of considerations you provide.  Facilitate the discussion forum session by providing feedback and commentary for the duration of Unit 4.</w:t>
            </w:r>
          </w:p>
          <w:p w14:paraId="2450B1AC" w14:textId="77777777" w:rsidR="00AB6C66" w:rsidRDefault="00AB6C66">
            <w:pPr>
              <w:pStyle w:val="normal0"/>
              <w:spacing w:after="0" w:line="240" w:lineRule="auto"/>
            </w:pPr>
          </w:p>
          <w:p w14:paraId="46BCDB0A" w14:textId="77777777" w:rsidR="00AB6C66" w:rsidRDefault="00F11915">
            <w:pPr>
              <w:pStyle w:val="normal0"/>
              <w:spacing w:after="0" w:line="240" w:lineRule="auto"/>
            </w:pPr>
            <w:r>
              <w:t xml:space="preserve"> </w:t>
            </w:r>
          </w:p>
          <w:p w14:paraId="562BFA61" w14:textId="77777777" w:rsidR="00AB6C66" w:rsidRDefault="00AB6C66">
            <w:pPr>
              <w:pStyle w:val="normal0"/>
              <w:spacing w:after="0" w:line="240" w:lineRule="auto"/>
            </w:pPr>
          </w:p>
          <w:p w14:paraId="70313CB8" w14:textId="77777777" w:rsidR="00AB6C66" w:rsidRDefault="00F11915">
            <w:pPr>
              <w:pStyle w:val="normal0"/>
              <w:spacing w:after="0" w:line="240" w:lineRule="auto"/>
            </w:pPr>
            <w:r>
              <w:t xml:space="preserve"> </w:t>
            </w:r>
          </w:p>
          <w:p w14:paraId="2BF344BF" w14:textId="77777777" w:rsidR="00AB6C66" w:rsidRDefault="00AB6C66">
            <w:pPr>
              <w:pStyle w:val="normal0"/>
              <w:spacing w:after="0" w:line="240" w:lineRule="auto"/>
            </w:pPr>
          </w:p>
        </w:tc>
        <w:tc>
          <w:tcPr>
            <w:tcW w:w="4464" w:type="dxa"/>
            <w:tcMar>
              <w:top w:w="100" w:type="dxa"/>
              <w:left w:w="108" w:type="dxa"/>
              <w:bottom w:w="100" w:type="dxa"/>
              <w:right w:w="108" w:type="dxa"/>
            </w:tcMar>
          </w:tcPr>
          <w:p w14:paraId="2EA12E6D" w14:textId="77777777" w:rsidR="00AB6C66" w:rsidRDefault="00F11915">
            <w:pPr>
              <w:pStyle w:val="normal0"/>
              <w:spacing w:after="0" w:line="240" w:lineRule="auto"/>
            </w:pPr>
            <w:r>
              <w:lastRenderedPageBreak/>
              <w:t xml:space="preserve">In teams, students will use synchronous spaces to plan, practise and rehearse presentations. Teams will build on their brainstorming and audience analysis completed in Unit 3. </w:t>
            </w:r>
          </w:p>
          <w:p w14:paraId="787ED9AB" w14:textId="77777777" w:rsidR="00AB6C66" w:rsidRDefault="00AB6C66">
            <w:pPr>
              <w:pStyle w:val="normal0"/>
              <w:spacing w:after="0" w:line="240" w:lineRule="auto"/>
            </w:pPr>
          </w:p>
          <w:p w14:paraId="35717FAA" w14:textId="77777777" w:rsidR="00AB6C66" w:rsidRDefault="00F11915">
            <w:pPr>
              <w:pStyle w:val="normal0"/>
              <w:spacing w:after="0" w:line="240" w:lineRule="auto"/>
            </w:pPr>
            <w:r>
              <w:t xml:space="preserve">Students will develop a metaphor for a “good host” by supplying one image and </w:t>
            </w:r>
            <w:r>
              <w:t xml:space="preserve">some notes about why you selected the image. These will be submitted to a drop-box. </w:t>
            </w:r>
          </w:p>
          <w:p w14:paraId="5E3B710D" w14:textId="77777777" w:rsidR="00AB6C66" w:rsidRDefault="00AB6C66">
            <w:pPr>
              <w:pStyle w:val="normal0"/>
              <w:spacing w:after="0" w:line="240" w:lineRule="auto"/>
            </w:pPr>
          </w:p>
          <w:p w14:paraId="296CE6D3" w14:textId="77777777" w:rsidR="00AB6C66" w:rsidRDefault="00F11915">
            <w:pPr>
              <w:pStyle w:val="normal0"/>
              <w:spacing w:after="0" w:line="240" w:lineRule="auto"/>
            </w:pPr>
            <w:r>
              <w:t>Students will watch a sample synchronous session and critique the session using a series of stimulus questions provided by the instructor. Critiques are posted to a plena</w:t>
            </w:r>
            <w:r>
              <w:t>ry discussion group for theming by the entire class.</w:t>
            </w:r>
          </w:p>
        </w:tc>
        <w:tc>
          <w:tcPr>
            <w:tcW w:w="3294" w:type="dxa"/>
            <w:tcMar>
              <w:top w:w="100" w:type="dxa"/>
              <w:left w:w="108" w:type="dxa"/>
              <w:bottom w:w="100" w:type="dxa"/>
              <w:right w:w="108" w:type="dxa"/>
            </w:tcMar>
          </w:tcPr>
          <w:p w14:paraId="51E00418" w14:textId="77777777" w:rsidR="00AB6C66" w:rsidRDefault="00F11915">
            <w:pPr>
              <w:pStyle w:val="normal0"/>
              <w:spacing w:after="220" w:line="295" w:lineRule="auto"/>
            </w:pPr>
            <w:r>
              <w:rPr>
                <w:i/>
              </w:rPr>
              <w:t>Readings</w:t>
            </w:r>
          </w:p>
          <w:p w14:paraId="1A09E596" w14:textId="77777777" w:rsidR="00AB6C66" w:rsidRDefault="00F11915">
            <w:pPr>
              <w:pStyle w:val="normal0"/>
              <w:spacing w:after="220" w:line="295" w:lineRule="auto"/>
            </w:pPr>
            <w:r>
              <w:t>Finkelstein, J. (2006). Learning in real time:  Synchronous teaching and learning online. San Francisco: Jossey-Bass. (Chapter 5, pp. 65 - 93).</w:t>
            </w:r>
          </w:p>
          <w:p w14:paraId="08B96F4E" w14:textId="77777777" w:rsidR="00AB6C66" w:rsidRDefault="00F11915">
            <w:pPr>
              <w:pStyle w:val="normal0"/>
              <w:spacing w:after="220" w:line="295" w:lineRule="auto"/>
            </w:pPr>
            <w:r>
              <w:t>Hyder, K., Kwinn, A., Miazga, R., &amp; Murray, M. (20</w:t>
            </w:r>
            <w:r>
              <w:t>07).</w:t>
            </w:r>
            <w:hyperlink r:id="rId5">
              <w:r>
                <w:t xml:space="preserve"> </w:t>
              </w:r>
            </w:hyperlink>
            <w:hyperlink r:id="rId6">
              <w:r>
                <w:rPr>
                  <w:color w:val="9B4B10"/>
                </w:rPr>
                <w:t>The eLearning guild’s handbook on s</w:t>
              </w:r>
              <w:r>
                <w:rPr>
                  <w:color w:val="9B4B10"/>
                </w:rPr>
                <w:t xml:space="preserve">ynchronous </w:t>
              </w:r>
              <w:proofErr w:type="gramStart"/>
              <w:r>
                <w:rPr>
                  <w:color w:val="9B4B10"/>
                </w:rPr>
                <w:t>e-learning</w:t>
              </w:r>
              <w:proofErr w:type="gramEnd"/>
              <w:r>
                <w:rPr>
                  <w:color w:val="9B4B10"/>
                </w:rPr>
                <w:t>.</w:t>
              </w:r>
            </w:hyperlink>
            <w:r>
              <w:rPr>
                <w:color w:val="4D4D4F"/>
              </w:rPr>
              <w:t xml:space="preserve"> </w:t>
            </w:r>
            <w:r>
              <w:t>Santa Rosa, CA: The e-Learning Guild. (Chapter 3, pp. 43-44; Chapter 6 and 7).</w:t>
            </w:r>
          </w:p>
          <w:p w14:paraId="4CEFC592" w14:textId="77777777" w:rsidR="00AB6C66" w:rsidRDefault="00F11915">
            <w:pPr>
              <w:pStyle w:val="normal0"/>
              <w:spacing w:after="220" w:line="295" w:lineRule="auto"/>
            </w:pPr>
            <w:r>
              <w:t xml:space="preserve">Stewart. A.R., Harlow, D.B. &amp; </w:t>
            </w:r>
            <w:r>
              <w:lastRenderedPageBreak/>
              <w:t>DeBacco, K. (2011).</w:t>
            </w:r>
            <w:r>
              <w:rPr>
                <w:color w:val="4D4D4F"/>
              </w:rPr>
              <w:t xml:space="preserve"> </w:t>
            </w:r>
            <w:hyperlink r:id="rId7">
              <w:r>
                <w:rPr>
                  <w:color w:val="9B4B10"/>
                </w:rPr>
                <w:t xml:space="preserve">Students’ experience </w:t>
              </w:r>
              <w:r>
                <w:rPr>
                  <w:color w:val="9B4B10"/>
                </w:rPr>
                <w:t>of synchronous learning in distributed environments</w:t>
              </w:r>
            </w:hyperlink>
            <w:r>
              <w:rPr>
                <w:color w:val="4D4D4F"/>
              </w:rPr>
              <w:t xml:space="preserve">. </w:t>
            </w:r>
            <w:r>
              <w:t>Distance Education, 32 (3), 357–381. DOI: 10.1080/01587919.2011.610289.</w:t>
            </w:r>
          </w:p>
          <w:p w14:paraId="257B61C2" w14:textId="77777777" w:rsidR="00AB6C66" w:rsidRDefault="00F11915">
            <w:pPr>
              <w:pStyle w:val="normal0"/>
              <w:spacing w:before="220" w:after="220" w:line="216" w:lineRule="auto"/>
            </w:pPr>
            <w:r>
              <w:rPr>
                <w:i/>
              </w:rPr>
              <w:t>Video resources</w:t>
            </w:r>
          </w:p>
          <w:p w14:paraId="096222A7" w14:textId="77777777" w:rsidR="00AB6C66" w:rsidRDefault="00F11915">
            <w:pPr>
              <w:pStyle w:val="normal0"/>
              <w:spacing w:after="220" w:line="295" w:lineRule="auto"/>
            </w:pPr>
            <w:r>
              <w:t xml:space="preserve">Rothler, D. (Presenter). (2013, May 30). </w:t>
            </w:r>
            <w:dir w:val="ltr">
              <w:hyperlink r:id="rId8">
                <w:r>
                  <w:rPr>
                    <w:color w:val="9B4B10"/>
                  </w:rPr>
                  <w:t xml:space="preserve">Synchronous tools and how </w:t>
                </w:r>
                <w:r>
                  <w:rPr>
                    <w:color w:val="9B4B10"/>
                  </w:rPr>
                  <w:t>to use them - blended learning advanced teacher training, Part 2</w:t>
                </w:r>
              </w:hyperlink>
              <w:proofErr w:type="gramStart"/>
              <w:r>
                <w:rPr>
                  <w:color w:val="4D4D4F"/>
                </w:rPr>
                <w:t>.</w:t>
              </w:r>
              <w:r>
                <w:rPr>
                  <w:color w:val="4D4D4F"/>
                </w:rPr>
                <w:t>‬</w:t>
              </w:r>
              <w:proofErr w:type="gramEnd"/>
              <w:r>
                <w:rPr>
                  <w:color w:val="4D4D4F"/>
                </w:rPr>
                <w:t xml:space="preserve"> </w:t>
              </w:r>
              <w:r>
                <w:t>[YouTube video]</w:t>
              </w:r>
            </w:dir>
          </w:p>
          <w:p w14:paraId="14D8059C" w14:textId="77777777" w:rsidR="00AB6C66" w:rsidRDefault="00F11915">
            <w:pPr>
              <w:pStyle w:val="normal0"/>
              <w:spacing w:after="220" w:line="295" w:lineRule="auto"/>
            </w:pPr>
            <w:r>
              <w:rPr>
                <w:rFonts w:ascii="Arial" w:eastAsia="Arial" w:hAnsi="Arial" w:cs="Arial"/>
                <w:color w:val="4D4D4F"/>
                <w:sz w:val="18"/>
              </w:rPr>
              <w:t>‬</w:t>
            </w:r>
            <w:r>
              <w:rPr>
                <w:rFonts w:ascii="Arial" w:eastAsia="Arial" w:hAnsi="Arial" w:cs="Arial"/>
                <w:color w:val="4D4D4F"/>
                <w:sz w:val="18"/>
              </w:rPr>
              <w:t>‬</w:t>
            </w:r>
            <w:r>
              <w:rPr>
                <w:rFonts w:ascii="Arial" w:eastAsia="Arial" w:hAnsi="Arial" w:cs="Arial"/>
                <w:color w:val="4D4D4F"/>
                <w:sz w:val="18"/>
              </w:rPr>
              <w:t>‬</w:t>
            </w:r>
            <w:r>
              <w:rPr>
                <w:rFonts w:ascii="Arial" w:eastAsia="Arial" w:hAnsi="Arial" w:cs="Arial"/>
                <w:color w:val="4D4D4F"/>
                <w:sz w:val="18"/>
              </w:rPr>
              <w:t>‬</w:t>
            </w:r>
            <w:r>
              <w:rPr>
                <w:rFonts w:ascii="Arial" w:eastAsia="Arial" w:hAnsi="Arial" w:cs="Arial"/>
                <w:color w:val="4D4D4F"/>
                <w:sz w:val="18"/>
              </w:rPr>
              <w:t>‬</w:t>
            </w:r>
            <w:r>
              <w:rPr>
                <w:rFonts w:ascii="Arial" w:eastAsia="Arial" w:hAnsi="Arial" w:cs="Arial"/>
                <w:color w:val="4D4D4F"/>
                <w:sz w:val="18"/>
              </w:rPr>
              <w:t>‬</w:t>
            </w:r>
          </w:p>
          <w:p w14:paraId="3E5BFA34" w14:textId="77777777" w:rsidR="00AB6C66" w:rsidRDefault="00AB6C66">
            <w:pPr>
              <w:pStyle w:val="normal0"/>
              <w:spacing w:after="0" w:line="240" w:lineRule="auto"/>
            </w:pPr>
          </w:p>
        </w:tc>
      </w:tr>
      <w:tr w:rsidR="00AB6C66" w14:paraId="46DABF59" w14:textId="77777777">
        <w:tblPrEx>
          <w:tblCellMar>
            <w:top w:w="0" w:type="dxa"/>
            <w:bottom w:w="0" w:type="dxa"/>
          </w:tblCellMar>
        </w:tblPrEx>
        <w:tc>
          <w:tcPr>
            <w:tcW w:w="1545" w:type="dxa"/>
            <w:tcMar>
              <w:top w:w="100" w:type="dxa"/>
              <w:left w:w="108" w:type="dxa"/>
              <w:bottom w:w="100" w:type="dxa"/>
              <w:right w:w="108" w:type="dxa"/>
            </w:tcMar>
          </w:tcPr>
          <w:p w14:paraId="64CCC0FC" w14:textId="77777777" w:rsidR="00AB6C66" w:rsidRDefault="00F11915">
            <w:pPr>
              <w:pStyle w:val="normal0"/>
              <w:spacing w:after="0" w:line="240" w:lineRule="auto"/>
            </w:pPr>
            <w:r>
              <w:lastRenderedPageBreak/>
              <w:t>Weeks 8 &amp; 9</w:t>
            </w:r>
          </w:p>
        </w:tc>
        <w:tc>
          <w:tcPr>
            <w:tcW w:w="3870" w:type="dxa"/>
            <w:tcMar>
              <w:top w:w="100" w:type="dxa"/>
              <w:left w:w="108" w:type="dxa"/>
              <w:bottom w:w="100" w:type="dxa"/>
              <w:right w:w="108" w:type="dxa"/>
            </w:tcMar>
          </w:tcPr>
          <w:p w14:paraId="1E146E52" w14:textId="77777777" w:rsidR="00AB6C66" w:rsidRDefault="00F11915">
            <w:pPr>
              <w:pStyle w:val="normal0"/>
              <w:spacing w:after="0" w:line="240" w:lineRule="auto"/>
            </w:pPr>
            <w:r>
              <w:t>Attend and evaluation all synchronous team presentations.</w:t>
            </w:r>
          </w:p>
          <w:p w14:paraId="10D9136A" w14:textId="77777777" w:rsidR="00AB6C66" w:rsidRDefault="00AB6C66">
            <w:pPr>
              <w:pStyle w:val="normal0"/>
              <w:spacing w:after="0" w:line="240" w:lineRule="auto"/>
            </w:pPr>
          </w:p>
          <w:p w14:paraId="72CA71E4" w14:textId="77777777" w:rsidR="00AB6C66" w:rsidRDefault="00F11915">
            <w:pPr>
              <w:pStyle w:val="normal0"/>
              <w:spacing w:after="0" w:line="240" w:lineRule="auto"/>
            </w:pPr>
            <w:r>
              <w:t>Remind students of Assignment 4 due date in Week 10.</w:t>
            </w:r>
          </w:p>
        </w:tc>
        <w:tc>
          <w:tcPr>
            <w:tcW w:w="4464" w:type="dxa"/>
            <w:tcMar>
              <w:top w:w="100" w:type="dxa"/>
              <w:left w:w="108" w:type="dxa"/>
              <w:bottom w:w="100" w:type="dxa"/>
              <w:right w:w="108" w:type="dxa"/>
            </w:tcMar>
          </w:tcPr>
          <w:p w14:paraId="5B80345C" w14:textId="77777777" w:rsidR="00AB6C66" w:rsidRDefault="00F11915">
            <w:pPr>
              <w:pStyle w:val="normal0"/>
              <w:spacing w:after="0" w:line="240" w:lineRule="auto"/>
            </w:pPr>
            <w:r>
              <w:t>Students’ Assignment 2 presentations are conducted over Weeks 8 and 9.</w:t>
            </w:r>
          </w:p>
          <w:p w14:paraId="60658310" w14:textId="77777777" w:rsidR="00AB6C66" w:rsidRDefault="00AB6C66">
            <w:pPr>
              <w:pStyle w:val="normal0"/>
              <w:spacing w:after="0" w:line="240" w:lineRule="auto"/>
            </w:pPr>
          </w:p>
          <w:p w14:paraId="3161EE41" w14:textId="77777777" w:rsidR="00AB6C66" w:rsidRDefault="00F11915">
            <w:pPr>
              <w:pStyle w:val="normal0"/>
              <w:spacing w:after="0" w:line="240" w:lineRule="auto"/>
            </w:pPr>
            <w:r>
              <w:t xml:space="preserve">Students will provide individual feedback on each team’s presentations in Assignment 2 using a rubric designed by the class as part of their Unit 2 activities. </w:t>
            </w:r>
          </w:p>
          <w:p w14:paraId="14FE0D9B" w14:textId="77777777" w:rsidR="00AB6C66" w:rsidRDefault="00AB6C66">
            <w:pPr>
              <w:pStyle w:val="normal0"/>
              <w:spacing w:after="0" w:line="240" w:lineRule="auto"/>
            </w:pPr>
          </w:p>
          <w:p w14:paraId="715CAC8D" w14:textId="77777777" w:rsidR="00AB6C66" w:rsidRDefault="00F11915">
            <w:pPr>
              <w:pStyle w:val="normal0"/>
              <w:spacing w:after="0" w:line="240" w:lineRule="auto"/>
            </w:pPr>
            <w:r>
              <w:t xml:space="preserve">Students are expected to will submit </w:t>
            </w:r>
            <w:proofErr w:type="gramStart"/>
            <w:r>
              <w:t>their  rubrics</w:t>
            </w:r>
            <w:proofErr w:type="gramEnd"/>
            <w:r>
              <w:t xml:space="preserve"> (500 words maximum) to the designated dropbox.</w:t>
            </w:r>
          </w:p>
        </w:tc>
        <w:tc>
          <w:tcPr>
            <w:tcW w:w="3294" w:type="dxa"/>
            <w:tcMar>
              <w:top w:w="100" w:type="dxa"/>
              <w:left w:w="108" w:type="dxa"/>
              <w:bottom w:w="100" w:type="dxa"/>
              <w:right w:w="108" w:type="dxa"/>
            </w:tcMar>
          </w:tcPr>
          <w:p w14:paraId="0B5494BD" w14:textId="77777777" w:rsidR="00AB6C66" w:rsidRDefault="00AB6C66">
            <w:pPr>
              <w:pStyle w:val="normal0"/>
              <w:spacing w:after="0"/>
            </w:pPr>
          </w:p>
        </w:tc>
      </w:tr>
    </w:tbl>
    <w:p w14:paraId="50EB8502" w14:textId="77777777" w:rsidR="00AB6C66" w:rsidRDefault="00AB6C66">
      <w:pPr>
        <w:pStyle w:val="normal0"/>
      </w:pPr>
    </w:p>
    <w:p w14:paraId="765A8919" w14:textId="77777777" w:rsidR="00AB6C66" w:rsidRDefault="00F11915">
      <w:pPr>
        <w:pStyle w:val="normal0"/>
      </w:pPr>
      <w:r>
        <w:lastRenderedPageBreak/>
        <w:t>Assignment 2: Synchronous Lesson Design (Team) 30% - presentations occur in weeks 8 &amp; 9</w:t>
      </w:r>
    </w:p>
    <w:p w14:paraId="0A4A6917" w14:textId="77777777" w:rsidR="00AB6C66" w:rsidRDefault="00F11915">
      <w:pPr>
        <w:pStyle w:val="normal0"/>
      </w:pPr>
      <w:r>
        <w:t>Assignment 3: Peer Review of Team Presentations (Individual) 10% -</w:t>
      </w:r>
      <w:r>
        <w:t xml:space="preserve"> due after each team presentation</w:t>
      </w:r>
    </w:p>
    <w:sectPr w:rsidR="00AB6C66">
      <w:pgSz w:w="15840" w:h="122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useFELayout/>
    <w:compatSetting w:name="compatibilityMode" w:uri="http://schemas.microsoft.com/office/word" w:val="14"/>
  </w:compat>
  <w:rsids>
    <w:rsidRoot w:val="00AB6C66"/>
    <w:rsid w:val="00AB6C66"/>
    <w:rsid w:val="00F1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9F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spacing w:before="100" w:after="100" w:line="240" w:lineRule="auto"/>
      <w:outlineLvl w:val="3"/>
    </w:pPr>
    <w:rPr>
      <w:rFonts w:ascii="Times New Roman" w:eastAsia="Times New Roman" w:hAnsi="Times New Roman" w:cs="Times New Roman"/>
      <w:b/>
      <w:sz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after="200" w:line="276" w:lineRule="auto"/>
    </w:pPr>
    <w:rPr>
      <w:rFonts w:ascii="Calibri" w:eastAsia="Calibri" w:hAnsi="Calibri" w:cs="Calibri"/>
      <w:color w:val="000000"/>
      <w:sz w:val="22"/>
    </w:rPr>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spacing w:before="100" w:after="100" w:line="240" w:lineRule="auto"/>
      <w:outlineLvl w:val="3"/>
    </w:pPr>
    <w:rPr>
      <w:rFonts w:ascii="Times New Roman" w:eastAsia="Times New Roman" w:hAnsi="Times New Roman" w:cs="Times New Roman"/>
      <w:b/>
      <w:sz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after="200" w:line="276" w:lineRule="auto"/>
    </w:pPr>
    <w:rPr>
      <w:rFonts w:ascii="Calibri" w:eastAsia="Calibri" w:hAnsi="Calibri" w:cs="Calibri"/>
      <w:color w:val="000000"/>
      <w:sz w:val="22"/>
    </w:rPr>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bookee.org/The-eLearning-Guild-s-Handbook-on-Synchronous-e-Learning_1058693.html" TargetMode="External"/><Relationship Id="rId6" Type="http://schemas.openxmlformats.org/officeDocument/2006/relationships/hyperlink" Target="http://ebookee.org/The-eLearning-Guild-s-Handbook-on-Synchronous-e-Learning_1058693.html" TargetMode="External"/><Relationship Id="rId7" Type="http://schemas.openxmlformats.org/officeDocument/2006/relationships/hyperlink" Target="http://www.tandfonline.com/doi/pdf/10.1080/01587919.2011.610289" TargetMode="External"/><Relationship Id="rId8" Type="http://schemas.openxmlformats.org/officeDocument/2006/relationships/hyperlink" Target="http://youtu.be/QVvdN8o_I5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3227</Characters>
  <Application>Microsoft Macintosh Word</Application>
  <DocSecurity>0</DocSecurity>
  <Lines>26</Lines>
  <Paragraphs>7</Paragraphs>
  <ScaleCrop>false</ScaleCrop>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 Unit 4 - Weeks 6,7,8,9.docx</dc:title>
  <cp:lastModifiedBy>Microsoft Office User</cp:lastModifiedBy>
  <cp:revision>2</cp:revision>
  <dcterms:created xsi:type="dcterms:W3CDTF">2014-02-19T05:10:00Z</dcterms:created>
  <dcterms:modified xsi:type="dcterms:W3CDTF">2014-02-19T05:10:00Z</dcterms:modified>
</cp:coreProperties>
</file>